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Times New Roman" w:eastAsia="仿宋"/>
          <w:lang w:val="en-US" w:eastAsia="zh-CN"/>
        </w:rPr>
        <w:t>附件1：</w:t>
      </w:r>
    </w:p>
    <w:p>
      <w:pPr>
        <w:keepNext w:val="0"/>
        <w:keepLines w:val="0"/>
        <w:pageBreakBefore w:val="0"/>
        <w:widowControl w:val="0"/>
        <w:kinsoku/>
        <w:wordWrap/>
        <w:overflowPunct/>
        <w:topLinePunct w:val="0"/>
        <w:autoSpaceDE/>
        <w:autoSpaceDN/>
        <w:bidi w:val="0"/>
        <w:adjustRightInd/>
        <w:snapToGrid/>
        <w:spacing w:before="313" w:beforeLines="100" w:after="157" w:afterLines="50"/>
        <w:ind w:left="0" w:leftChars="0" w:right="0" w:rightChars="0" w:firstLine="0" w:firstLineChars="0"/>
        <w:jc w:val="center"/>
        <w:textAlignment w:val="auto"/>
        <w:rPr>
          <w:rFonts w:hint="eastAsia"/>
          <w:b/>
          <w:bCs/>
          <w:sz w:val="36"/>
          <w:szCs w:val="36"/>
        </w:rPr>
      </w:pPr>
      <w:r>
        <w:rPr>
          <w:rFonts w:hint="eastAsia" w:ascii="Times New Roman" w:eastAsia="仿宋"/>
          <w:b/>
          <w:bCs/>
          <w:sz w:val="36"/>
          <w:szCs w:val="36"/>
          <w:lang w:val="en-US" w:eastAsia="zh-CN"/>
        </w:rPr>
        <w:t>铜陵市“专精特新”中小企业评分办法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铜陵市“专精特新”中小企业评分实行百分制，其中：共性指标50分，专项指标50分。将共性指标和专项指标分别按以下办法进行评分后，相加所得即总得分。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rPr>
      </w:pPr>
      <w:r>
        <w:rPr>
          <w:rFonts w:hint="eastAsia" w:ascii="Times New Roman" w:eastAsia="仿宋"/>
          <w:b/>
          <w:bCs/>
          <w:lang w:val="en-US" w:eastAsia="zh-CN"/>
        </w:rPr>
        <w:t>（一）共性指标评分办法：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1、分值设定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共性指标50分，其中：基础起评分30分；竞争性指标20分。竞争性指标分两项指标评分，营业收入指标占50%（即10分），实缴税金及社保缴纳额之和指标占50%（即10分）。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2、评分办法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企业符合基本申报条件获基础起评分，竞争性两项指标分别按功效系数法进行计算出得分后，相加得分与基础起评分合成即为该企业共性指标得分。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rPr>
      </w:pPr>
      <w:r>
        <w:rPr>
          <w:rFonts w:hint="eastAsia" w:ascii="Times New Roman" w:eastAsia="仿宋"/>
          <w:b/>
          <w:bCs/>
          <w:lang w:val="en-US" w:eastAsia="zh-CN"/>
        </w:rPr>
        <w:t>（二）专项指标评分办法：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1、分值设定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专项指标50分，分八项指标评分，其中：企业发展战略专一化指标3分；产业链分工专业化指标3分；研发精深化指标10分；管理精细化指标7分；产品品牌化指标5分；工艺独特化指标10分；技术创新化指标6分；产品新颖化指标6分。将企业八项指标分别计算出得分后，相加即为该企业专项指标得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2、评分办法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企业发展战略专一化：主导产品产量达到列入统计的全市主要产品产量10%的 2分，每提高5%加0.3分，3分封顶；（以统计局公布的全市主要工业产品种类为限）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产业链分工专业化：成为世界五百强、全国五百强企业供应商得3分，成为全省百强企业供应商得1分；各项可累加，3分封顶（以企业获得供应商资质证、牌和提供的所供应企业百强证明为准）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研发精深化：国家级技术中心、工业设计中心（研发机构）、制造业创新中心得7分；省级技术中心、工业设计中心（研发机构）、制造业创新中心4分，市级技术中心、工业设计中心（研发机构）得2分；企业R&amp;D达到2%得2分，每超过0.5百分点加0.5分；各项可累加，10分封顶；（以有效期内的荣誉证、牌为准，R&amp;D投入以经税务局盖章的企业所得税纳税申报中所列研发费用金额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管理精细化：企业（产品）通过国际机构认证的7分，国内机构认证的4分；企业获得两化融合管理体系评定证书的7分；企业获评省级工业互联网场景应用示范（5G典型应用示范、标识解析应用示范、新模式应用示范、网络安全管理示范和优秀解决方案）的4分；制（修）订并发布国家行业标准的7分，申报国家行业标准立项的4分，被省经信厅认定为省级标准化示范企业的4分；企业获得全市非公企业标准化党组织三星级称号的1分，四星级称号的2分，五星级称号的3分；各项可累加，7分封顶；（以有效期内的证书、文件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产品品牌化：中国驰名商标5分；中国名牌产品5分，省级名牌产品3分；国家级质量奖5分，省级质量奖3分；国家工业精品5分，省工业精品3分，各项可累加，5分封顶；（以有效期内的证书、文件、证牌为准）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工艺独特化：有效期内的发明专利1项2分，每多1项加0.5分；实用新型专利技术5项2分，每多2项加0.5分；两项可累加，10分封顶；（以正式颁发的有效期内的证书为准）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Times New Roman" w:eastAsia="仿宋"/>
          <w:lang w:val="en-US" w:eastAsia="zh-CN"/>
        </w:rPr>
        <w:t>技术创新化：国家知识产权示范企业、国家知识产权优势企业、经信系统国家级技术创新示范企业6分；高新技术企业、省级知识产权示范培育企业、省级知识产权优势培育工程企业、经信系统省级技术创新示范企业3分；各项可累加，6分封顶；（以正式颁发的有效期内的证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Times New Roman" w:eastAsia="仿宋"/>
          <w:lang w:val="en-US" w:eastAsia="zh-CN"/>
        </w:rPr>
        <w:t>产品新颖化：国家级新产品1项6分，省级新产品1项3分，每多1项加1分，市级新产品1项1分，每多1项加0.5分；国家级首家研制开发的成套、单机装备及关键部件产品6分,省级首家研制开发的成套、单机装备及关键部件产品3分，安徽省工业设计赛获奖产品3分；市级首家研制开发的成套、单机装备及关键部件产品1分；各项可累加，6分封顶。（以有效期内证书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12C0A"/>
    <w:rsid w:val="6C312C0A"/>
    <w:rsid w:val="77A0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2022-03-25T13:36:00Z</dcterms:created>
  <dc:creator>空梦云归</dc:creator>
  <cp:lastModifiedBy>空梦云归</cp:lastModifiedBy>
  <dcterms:modified xsi:type="dcterms:W3CDTF">2022-03-25T13:36:42Z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19D306E4B2ED4CFA80BA48A2A02A381B</vt:lpwstr>
  </property>
</Properties>
</file>