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outlineLvl w:val="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Toc21428"/>
      <w:bookmarkStart w:id="1" w:name="_Toc3410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</w:t>
      </w:r>
      <w:bookmarkEnd w:id="1"/>
    </w:p>
    <w:p>
      <w:pPr>
        <w:spacing w:line="520" w:lineRule="exact"/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安徽省第四届“赢在江淮”创业创新大赛铜陵赛区暨</w:t>
      </w:r>
    </w:p>
    <w:p>
      <w:pPr>
        <w:widowControl/>
        <w:ind w:firstLine="320" w:firstLineChars="100"/>
        <w:jc w:val="center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铜陵市第五届“创业铜都”创业大赛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评审标准</w:t>
      </w:r>
    </w:p>
    <w:p>
      <w:pPr>
        <w:spacing w:line="500" w:lineRule="exact"/>
        <w:jc w:val="center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（青年创意专项赛）</w:t>
      </w:r>
    </w:p>
    <w:p>
      <w:pPr>
        <w:pStyle w:val="5"/>
        <w:spacing w:line="500" w:lineRule="exact"/>
        <w:ind w:firstLine="0" w:firstLineChars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一、创新引领性（30分）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1.技术、产品具有原创性、创新性（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10分）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2.技术、产品具有行业领先性或取得了专利等知识产权成果，项目在某个行业或领域将具有示范性和引领性（10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3.商业模式、管理模式和服务模式具有可行性、创新性（10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pStyle w:val="5"/>
        <w:spacing w:line="500" w:lineRule="exact"/>
        <w:ind w:firstLine="0" w:firstLineChars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二、预期带动就业（25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预期未来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3年将创造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直接就业和间接就业的规模（20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预期能带动高校毕业生、退役军人、残疾人、脱贫人口等重点群体就业情况（5分）</w:t>
      </w:r>
    </w:p>
    <w:p>
      <w:pPr>
        <w:pStyle w:val="5"/>
        <w:widowControl/>
        <w:adjustRightInd w:val="0"/>
        <w:snapToGrid w:val="0"/>
        <w:spacing w:line="500" w:lineRule="exact"/>
        <w:ind w:right="-53" w:rightChars="-25" w:firstLine="0" w:firstLineChars="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三、项目团队（25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1.项目第一创始人的素质、能力、背景和经历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（10分）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成员构成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的科学性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、完整性、稳定性和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互补性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（5分）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团队的整体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运营能力和执行力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（10分）</w:t>
      </w:r>
    </w:p>
    <w:p>
      <w:pPr>
        <w:pStyle w:val="5"/>
        <w:widowControl/>
        <w:adjustRightInd w:val="0"/>
        <w:snapToGrid w:val="0"/>
        <w:spacing w:line="500" w:lineRule="exact"/>
        <w:ind w:right="-53" w:rightChars="-25" w:firstLine="0" w:firstLineChars="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四、发展前景（20分）</w:t>
      </w:r>
    </w:p>
    <w:p>
      <w:pPr>
        <w:pStyle w:val="5"/>
        <w:spacing w:line="500" w:lineRule="exact"/>
        <w:ind w:firstLine="0" w:firstLineChars="0"/>
        <w:rPr>
          <w:rFonts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项目市场前景，</w:t>
      </w:r>
      <w:r>
        <w:rPr>
          <w:rFonts w:hint="eastAsia" w:ascii="仿宋" w:hAnsi="仿宋" w:eastAsia="仿宋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开拓市场的可行性和条件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（10分）</w:t>
      </w:r>
    </w:p>
    <w:p>
      <w:pPr>
        <w:pStyle w:val="5"/>
        <w:widowControl/>
        <w:adjustRightInd w:val="0"/>
        <w:snapToGrid w:val="0"/>
        <w:spacing w:line="500" w:lineRule="exact"/>
        <w:ind w:firstLine="0" w:firstLineChars="0"/>
        <w:jc w:val="left"/>
        <w:rPr>
          <w:rFonts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2.项目具有可持续发展的能力及良好的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预期</w:t>
      </w:r>
      <w:r>
        <w:rPr>
          <w:rFonts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、社会</w:t>
      </w:r>
      <w:r>
        <w:rPr>
          <w:rFonts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价值（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widowControl/>
        <w:jc w:val="left"/>
        <w:rPr>
          <w:rFonts w:cs="黑体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0F"/>
    <w:rsid w:val="00207F0F"/>
    <w:rsid w:val="00B3437C"/>
    <w:rsid w:val="00BA631D"/>
    <w:rsid w:val="720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uiPriority w:val="99"/>
    <w:pPr>
      <w:spacing w:after="120"/>
    </w:p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6">
    <w:name w:val="正文文本 Char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404</Characters>
  <Lines>3</Lines>
  <Paragraphs>1</Paragraphs>
  <TotalTime>1</TotalTime>
  <ScaleCrop>false</ScaleCrop>
  <LinksUpToDate>false</LinksUpToDate>
  <CharactersWithSpaces>404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2022-04-21T01:15:00Z</dcterms:created>
  <dc:creator>MUSER</dc:creator>
  <cp:lastModifiedBy>空梦云归</cp:lastModifiedBy>
  <dcterms:modified xsi:type="dcterms:W3CDTF">2022-04-22T03:23:55Z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eyJoZGlkIjoiZGFiOWRjMDNkODI5NDVlYmVmODkwMzAwYmNhMzgwNmIifQ==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4342024F3F554ED392A82DAEBE569E0B</vt:lpwstr>
  </property>
</Properties>
</file>