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outlineLvl w:val="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8296"/>
      <w:bookmarkStart w:id="1" w:name="_Toc1078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</w:t>
      </w:r>
      <w:bookmarkEnd w:id="1"/>
    </w:p>
    <w:p>
      <w:pPr>
        <w:spacing w:line="520" w:lineRule="exact"/>
        <w:jc w:val="center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安徽省第四届“赢在江淮”创业创新大赛铜陵赛区暨</w:t>
      </w:r>
    </w:p>
    <w:p>
      <w:pPr>
        <w:widowControl/>
        <w:ind w:firstLine="320" w:firstLineChars="100"/>
        <w:jc w:val="center"/>
        <w:rPr>
          <w:rFonts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铜陵市第五届“创业铜都”创业大赛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评审标准</w:t>
      </w:r>
    </w:p>
    <w:p>
      <w:pPr>
        <w:spacing w:line="500" w:lineRule="exact"/>
        <w:jc w:val="center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（乡村振兴专项赛）</w:t>
      </w:r>
    </w:p>
    <w:p>
      <w:pPr>
        <w:pStyle w:val="10"/>
        <w:numPr>
          <w:ilvl w:val="255"/>
          <w:numId w:val="0"/>
        </w:numPr>
        <w:spacing w:line="5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一、创新引领性（25分）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1.服务、技术或产品具有原创性、创新性（5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2.技术或产品具有行业领先性或取得了专利等知识产权成果，项目在某个行业或领域具有示范性和引领性（5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对巩固脱贫攻坚成果、促进产业升级、区域发展、文化传承等方面有积极促进作用（5分）</w:t>
      </w:r>
    </w:p>
    <w:p>
      <w:pPr>
        <w:spacing w:line="5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4.商业模式、管理模式和服务模式具有创新性，适应在县以下小城镇和农村稳定发展（10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分）</w:t>
      </w:r>
    </w:p>
    <w:p>
      <w:pPr>
        <w:pStyle w:val="10"/>
        <w:spacing w:line="500" w:lineRule="exact"/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二、带动就业（35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1.直接带动就业岗位的数量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(晋级省赛项目须提供县级以上人社部门或乡镇人民政府出具的证明)</w:t>
      </w:r>
      <w:r>
        <w:rPr>
          <w:rFonts w:ascii="仿宋" w:hAnsi="仿宋" w:eastAsia="仿宋"/>
          <w:sz w:val="28"/>
          <w:szCs w:val="28"/>
        </w:rPr>
        <w:t>，间接带动创业就业</w:t>
      </w:r>
      <w:r>
        <w:rPr>
          <w:rFonts w:hint="eastAsia" w:ascii="仿宋" w:hAnsi="仿宋" w:eastAsia="仿宋"/>
          <w:sz w:val="28"/>
          <w:szCs w:val="28"/>
        </w:rPr>
        <w:t>的数量，预计未来</w:t>
      </w:r>
      <w:r>
        <w:rPr>
          <w:rFonts w:ascii="仿宋" w:hAnsi="仿宋" w:eastAsia="仿宋"/>
          <w:sz w:val="28"/>
          <w:szCs w:val="28"/>
        </w:rPr>
        <w:t>3年将创造就业岗位的数量</w:t>
      </w:r>
      <w:r>
        <w:rPr>
          <w:rFonts w:hint="eastAsia" w:ascii="仿宋" w:hAnsi="仿宋" w:eastAsia="仿宋"/>
          <w:sz w:val="28"/>
          <w:szCs w:val="28"/>
        </w:rPr>
        <w:t>规模（20</w:t>
      </w:r>
      <w:r>
        <w:rPr>
          <w:rFonts w:ascii="仿宋" w:hAnsi="仿宋" w:eastAsia="仿宋"/>
          <w:sz w:val="28"/>
          <w:szCs w:val="28"/>
        </w:rPr>
        <w:t>分）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带动高校毕业生、农村劳动力、退役军人、残疾人、脱贫人口等重点群体就近就地就业情况（10分）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3.对促进员工高质量就业，在正规稳定用工、提高工资待遇、提升工作能力、改善工作环境等方面的举措和效果（5分）</w:t>
      </w:r>
    </w:p>
    <w:p>
      <w:pPr>
        <w:pStyle w:val="10"/>
        <w:widowControl/>
        <w:adjustRightInd w:val="0"/>
        <w:snapToGrid w:val="0"/>
        <w:spacing w:line="500" w:lineRule="exact"/>
        <w:ind w:right="-53" w:rightChars="-25" w:firstLine="0" w:firstLineChars="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32"/>
        </w:rPr>
        <w:t>三、项目团队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（15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</w:t>
      </w:r>
    </w:p>
    <w:p>
      <w:pPr>
        <w:pStyle w:val="10"/>
        <w:widowControl/>
        <w:adjustRightInd w:val="0"/>
        <w:snapToGrid w:val="0"/>
        <w:spacing w:line="500" w:lineRule="exact"/>
        <w:ind w:right="-53" w:rightChars="-25" w:firstLine="0" w:firstLineChars="0"/>
        <w:jc w:val="left"/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1.项目第一创始人的素质、能力、背景和经历(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5分</w:t>
      </w: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10"/>
        <w:widowControl/>
        <w:adjustRightInd w:val="0"/>
        <w:snapToGrid w:val="0"/>
        <w:spacing w:line="500" w:lineRule="exact"/>
        <w:ind w:right="-53" w:rightChars="-25" w:firstLine="0" w:firstLineChars="0"/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团队成员构成</w:t>
      </w: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的科学性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、完整性、</w:t>
      </w:r>
      <w:r>
        <w:rPr>
          <w:rFonts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互补性</w:t>
      </w:r>
      <w:r>
        <w:rPr>
          <w:rFonts w:hint="eastAsia" w:ascii="仿宋" w:hAnsi="仿宋" w:eastAsia="仿宋" w:cstheme="maj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和稳定性</w:t>
      </w:r>
      <w:r>
        <w:rPr>
          <w:rFonts w:ascii="仿宋" w:hAnsi="仿宋" w:eastAsia="仿宋" w:cstheme="majorEastAsia"/>
          <w:sz w:val="28"/>
          <w:szCs w:val="28"/>
        </w:rPr>
        <w:t>（5分）</w:t>
      </w:r>
    </w:p>
    <w:p>
      <w:pPr>
        <w:pStyle w:val="10"/>
        <w:widowControl/>
        <w:adjustRightInd w:val="0"/>
        <w:snapToGrid w:val="0"/>
        <w:spacing w:line="500" w:lineRule="exact"/>
        <w:ind w:right="-53" w:rightChars="-25" w:firstLine="0" w:firstLineChars="0"/>
        <w:jc w:val="left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3.</w:t>
      </w:r>
      <w:r>
        <w:rPr>
          <w:rFonts w:ascii="仿宋" w:hAnsi="仿宋" w:eastAsia="仿宋" w:cstheme="majorEastAsia"/>
          <w:sz w:val="28"/>
          <w:szCs w:val="28"/>
        </w:rPr>
        <w:t>团队</w:t>
      </w:r>
      <w:r>
        <w:rPr>
          <w:rFonts w:hint="eastAsia" w:ascii="仿宋" w:hAnsi="仿宋" w:eastAsia="仿宋" w:cstheme="majorEastAsia"/>
          <w:sz w:val="28"/>
          <w:szCs w:val="28"/>
        </w:rPr>
        <w:t>整体</w:t>
      </w:r>
      <w:r>
        <w:rPr>
          <w:rFonts w:ascii="仿宋" w:hAnsi="仿宋" w:eastAsia="仿宋" w:cstheme="majorEastAsia"/>
          <w:sz w:val="28"/>
          <w:szCs w:val="28"/>
        </w:rPr>
        <w:t>的运营能力和执行能力</w:t>
      </w:r>
      <w:r>
        <w:rPr>
          <w:rFonts w:hint="eastAsia" w:ascii="仿宋" w:hAnsi="仿宋" w:eastAsia="仿宋" w:cstheme="majorEastAsia"/>
          <w:sz w:val="28"/>
          <w:szCs w:val="28"/>
        </w:rPr>
        <w:t>（5分）</w:t>
      </w:r>
    </w:p>
    <w:p>
      <w:pPr>
        <w:pStyle w:val="10"/>
        <w:numPr>
          <w:ilvl w:val="255"/>
          <w:numId w:val="0"/>
        </w:num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四、发展现状和前景（25分）</w:t>
      </w:r>
    </w:p>
    <w:p>
      <w:pPr>
        <w:pStyle w:val="10"/>
        <w:spacing w:line="500" w:lineRule="exact"/>
        <w:ind w:firstLine="0" w:firstLineChars="0"/>
        <w:rPr>
          <w:rFonts w:ascii="仿宋" w:hAnsi="仿宋" w:eastAsia="仿宋" w:cstheme="majorEastAsia"/>
          <w:spacing w:val="-6"/>
          <w:sz w:val="28"/>
          <w:szCs w:val="28"/>
        </w:rPr>
      </w:pPr>
      <w:r>
        <w:rPr>
          <w:rFonts w:ascii="仿宋" w:hAnsi="仿宋" w:eastAsia="仿宋" w:cstheme="majorEastAsia"/>
          <w:spacing w:val="-6"/>
          <w:sz w:val="28"/>
          <w:szCs w:val="28"/>
        </w:rPr>
        <w:t>1.</w:t>
      </w:r>
      <w:r>
        <w:rPr>
          <w:rFonts w:hint="eastAsia" w:ascii="仿宋" w:hAnsi="仿宋" w:eastAsia="仿宋" w:cstheme="majorEastAsia"/>
          <w:spacing w:val="-6"/>
          <w:sz w:val="28"/>
          <w:szCs w:val="28"/>
        </w:rPr>
        <w:t>项目具有广阔的市场前景，</w:t>
      </w:r>
      <w:r>
        <w:rPr>
          <w:rFonts w:hint="eastAsia" w:ascii="仿宋" w:hAnsi="仿宋" w:eastAsia="仿宋" w:cstheme="majorEastAsia"/>
          <w:spacing w:val="-6"/>
          <w:kern w:val="0"/>
          <w:sz w:val="28"/>
          <w:szCs w:val="28"/>
        </w:rPr>
        <w:t>具备大范围推广的可行性和条件</w:t>
      </w:r>
      <w:r>
        <w:rPr>
          <w:rFonts w:hint="eastAsia" w:ascii="仿宋" w:hAnsi="仿宋" w:eastAsia="仿宋" w:cstheme="majorEastAsia"/>
          <w:spacing w:val="-6"/>
          <w:sz w:val="28"/>
          <w:szCs w:val="28"/>
        </w:rPr>
        <w:t>（</w:t>
      </w:r>
      <w:r>
        <w:rPr>
          <w:rFonts w:ascii="仿宋" w:hAnsi="仿宋" w:eastAsia="仿宋" w:cstheme="majorEastAsia"/>
          <w:spacing w:val="-6"/>
          <w:sz w:val="28"/>
          <w:szCs w:val="28"/>
        </w:rPr>
        <w:t xml:space="preserve">10 </w:t>
      </w:r>
      <w:r>
        <w:rPr>
          <w:rFonts w:hint="eastAsia" w:ascii="仿宋" w:hAnsi="仿宋" w:eastAsia="仿宋" w:cstheme="majorEastAsia"/>
          <w:spacing w:val="-6"/>
          <w:sz w:val="28"/>
          <w:szCs w:val="28"/>
        </w:rPr>
        <w:t>分）</w:t>
      </w:r>
    </w:p>
    <w:p>
      <w:pPr>
        <w:pStyle w:val="10"/>
        <w:widowControl/>
        <w:adjustRightInd w:val="0"/>
        <w:snapToGrid w:val="0"/>
        <w:spacing w:line="500" w:lineRule="exact"/>
        <w:ind w:firstLine="0" w:firstLineChars="0"/>
        <w:jc w:val="left"/>
        <w:rPr>
          <w:rFonts w:ascii="仿宋" w:hAnsi="仿宋" w:eastAsia="仿宋" w:cstheme="majorEastAsia"/>
          <w:spacing w:val="-6"/>
          <w:sz w:val="28"/>
          <w:szCs w:val="28"/>
        </w:rPr>
      </w:pPr>
      <w:r>
        <w:rPr>
          <w:rFonts w:ascii="仿宋" w:hAnsi="仿宋" w:eastAsia="仿宋" w:cstheme="majorEastAsia"/>
          <w:spacing w:val="-6"/>
          <w:sz w:val="28"/>
          <w:szCs w:val="28"/>
        </w:rPr>
        <w:t>2.项目具有可持续发展的能力，及良好的经济价值</w:t>
      </w:r>
      <w:r>
        <w:rPr>
          <w:rFonts w:hint="eastAsia" w:ascii="仿宋" w:hAnsi="仿宋" w:eastAsia="仿宋" w:cstheme="majorEastAsia"/>
          <w:spacing w:val="-6"/>
          <w:sz w:val="28"/>
          <w:szCs w:val="28"/>
        </w:rPr>
        <w:t>、社会价值</w:t>
      </w:r>
      <w:r>
        <w:rPr>
          <w:rFonts w:ascii="仿宋" w:hAnsi="仿宋" w:eastAsia="仿宋" w:cstheme="majorEastAsia"/>
          <w:spacing w:val="-6"/>
          <w:sz w:val="28"/>
          <w:szCs w:val="28"/>
        </w:rPr>
        <w:t>（</w:t>
      </w:r>
      <w:r>
        <w:rPr>
          <w:rFonts w:hint="eastAsia" w:ascii="仿宋" w:hAnsi="仿宋" w:eastAsia="仿宋" w:cstheme="majorEastAsia"/>
          <w:spacing w:val="-6"/>
          <w:sz w:val="28"/>
          <w:szCs w:val="28"/>
        </w:rPr>
        <w:t>5</w:t>
      </w:r>
      <w:r>
        <w:rPr>
          <w:rFonts w:ascii="仿宋" w:hAnsi="仿宋" w:eastAsia="仿宋" w:cstheme="majorEastAsia"/>
          <w:spacing w:val="-6"/>
          <w:sz w:val="28"/>
          <w:szCs w:val="28"/>
        </w:rPr>
        <w:t>分）</w:t>
      </w:r>
    </w:p>
    <w:p>
      <w:pPr>
        <w:pStyle w:val="2"/>
      </w:pPr>
      <w:r>
        <w:rPr>
          <w:rFonts w:ascii="仿宋" w:hAnsi="仿宋" w:eastAsia="仿宋" w:cstheme="majorEastAsia"/>
          <w:sz w:val="28"/>
          <w:szCs w:val="28"/>
        </w:rPr>
        <w:t>3.项目运营现状和财务状况，取得的进展和成绩（10分）</w:t>
      </w: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92"/>
    <w:rsid w:val="00352C5C"/>
    <w:rsid w:val="00922792"/>
    <w:rsid w:val="00B64670"/>
    <w:rsid w:val="00FA0809"/>
    <w:rsid w:val="38D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608</Characters>
  <Lines>4</Lines>
  <Paragraphs>1</Paragraphs>
  <TotalTime>1</TotalTime>
  <ScaleCrop>false</ScaleCrop>
  <LinksUpToDate>false</LinksUpToDate>
  <CharactersWithSpaces>609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2022-04-21T01:12:00Z</dcterms:created>
  <dc:creator>MUSER</dc:creator>
  <cp:lastModifiedBy>空梦云归</cp:lastModifiedBy>
  <dcterms:modified xsi:type="dcterms:W3CDTF">2022-04-22T03:24:03Z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eyJoZGlkIjoiZGFiOWRjMDNkODI5NDVlYmVmODkwMzAwYmNhMzgwNmIifQ==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3FD4DF8345CF402483E1B98DF813FB20</vt:lpwstr>
  </property>
</Properties>
</file>